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B79ED" w14:textId="59A5141B" w:rsidR="00C70F05" w:rsidRDefault="00C70F05">
      <w:pPr>
        <w:spacing w:after="36"/>
        <w:ind w:left="0" w:firstLine="0"/>
        <w:jc w:val="left"/>
      </w:pPr>
    </w:p>
    <w:p w14:paraId="1561278E" w14:textId="77777777" w:rsidR="00C70F05" w:rsidRDefault="00000000">
      <w:pPr>
        <w:spacing w:after="1" w:line="238" w:lineRule="auto"/>
        <w:ind w:left="1872" w:right="176" w:hanging="1358"/>
        <w:jc w:val="left"/>
      </w:pPr>
      <w:r>
        <w:rPr>
          <w:b/>
          <w:sz w:val="28"/>
        </w:rPr>
        <w:t xml:space="preserve">Komentarz do stosowania priorytetów wydatkowania rezerwy KFS  w 2023 roku – priorytety Rady Rynku Pracy </w:t>
      </w:r>
    </w:p>
    <w:p w14:paraId="4B373DBD" w14:textId="77777777" w:rsidR="00C70F05" w:rsidRDefault="00000000">
      <w:pPr>
        <w:spacing w:after="0"/>
        <w:ind w:left="67" w:firstLine="0"/>
        <w:jc w:val="center"/>
      </w:pPr>
      <w:r>
        <w:rPr>
          <w:b/>
          <w:sz w:val="28"/>
        </w:rPr>
        <w:t xml:space="preserve"> </w:t>
      </w:r>
    </w:p>
    <w:p w14:paraId="21485C9F" w14:textId="77777777" w:rsidR="00C70F05" w:rsidRDefault="00000000">
      <w:pPr>
        <w:spacing w:after="0"/>
        <w:ind w:left="67" w:firstLine="0"/>
        <w:jc w:val="center"/>
      </w:pPr>
      <w:r>
        <w:rPr>
          <w:b/>
          <w:sz w:val="28"/>
        </w:rPr>
        <w:t xml:space="preserve"> </w:t>
      </w:r>
    </w:p>
    <w:p w14:paraId="7015F4E2" w14:textId="77777777" w:rsidR="00C70F05" w:rsidRDefault="00000000">
      <w:pPr>
        <w:spacing w:after="4" w:line="262" w:lineRule="auto"/>
        <w:ind w:left="-5" w:hanging="10"/>
      </w:pPr>
      <w:r>
        <w:rPr>
          <w:b/>
        </w:rPr>
        <w:t xml:space="preserve">Priorytet nr 1, tj. Wsparcie kształcenia ustawicznego pracowników Centrów Integracji </w:t>
      </w:r>
    </w:p>
    <w:p w14:paraId="156079FD" w14:textId="77777777" w:rsidR="00C70F05" w:rsidRDefault="00000000">
      <w:pPr>
        <w:spacing w:after="4" w:line="262" w:lineRule="auto"/>
        <w:ind w:left="-5" w:hanging="10"/>
      </w:pPr>
      <w:r>
        <w:rPr>
          <w:b/>
        </w:rPr>
        <w:t xml:space="preserve">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>
        <w:rPr>
          <w:b/>
        </w:rPr>
        <w:t>MRiPS</w:t>
      </w:r>
      <w:proofErr w:type="spellEnd"/>
      <w:r>
        <w:rPr>
          <w:b/>
        </w:rPr>
        <w:t xml:space="preserve">. </w:t>
      </w:r>
    </w:p>
    <w:p w14:paraId="3134AA5D" w14:textId="77777777" w:rsidR="00C70F05" w:rsidRDefault="00000000">
      <w:pPr>
        <w:spacing w:after="23"/>
        <w:ind w:left="0" w:firstLine="0"/>
        <w:jc w:val="left"/>
      </w:pPr>
      <w:r>
        <w:t xml:space="preserve"> </w:t>
      </w:r>
    </w:p>
    <w:p w14:paraId="4C788841" w14:textId="77777777" w:rsidR="00C70F05" w:rsidRDefault="00000000">
      <w:pPr>
        <w:ind w:left="0" w:firstLine="0"/>
      </w:pPr>
      <w:r>
        <w:t xml:space="preserve">Podmioty uprawnione do korzystania z środków w ramach tego priorytetu to:  </w:t>
      </w:r>
    </w:p>
    <w:p w14:paraId="470FF09E" w14:textId="77777777" w:rsidR="00C70F05" w:rsidRDefault="00000000">
      <w:pPr>
        <w:spacing w:after="41"/>
        <w:ind w:left="0" w:firstLine="0"/>
        <w:jc w:val="left"/>
      </w:pPr>
      <w:r>
        <w:t xml:space="preserve"> </w:t>
      </w:r>
    </w:p>
    <w:p w14:paraId="498EB06B" w14:textId="77777777" w:rsidR="00C70F05" w:rsidRDefault="00000000">
      <w:pPr>
        <w:numPr>
          <w:ilvl w:val="0"/>
          <w:numId w:val="1"/>
        </w:numPr>
      </w:pPr>
      <w:r>
        <w:rPr>
          <w:b/>
        </w:rPr>
        <w:t>CIS</w:t>
      </w:r>
      <w:r>
        <w:t xml:space="preserve"> i </w:t>
      </w:r>
      <w:r>
        <w:rPr>
          <w:b/>
        </w:rPr>
        <w:t>KIS</w:t>
      </w:r>
      <w:r>
        <w:t xml:space="preserve"> to jednostki prowadzone przez JST, organizacje pozarządowe, podmioty kościelne lub spółdzielnie socjalne. Centra i Kluby Integracji Społecznej zatrudniają kadrę odpowiedzialną za reintegrację społeczną i zawodową uczestników.  </w:t>
      </w:r>
    </w:p>
    <w:p w14:paraId="0212DC9B" w14:textId="77777777" w:rsidR="00C70F05" w:rsidRDefault="00000000">
      <w:pPr>
        <w:spacing w:after="63"/>
        <w:ind w:left="283" w:firstLine="0"/>
        <w:jc w:val="left"/>
      </w:pPr>
      <w:r>
        <w:t xml:space="preserve"> </w:t>
      </w:r>
    </w:p>
    <w:p w14:paraId="28A5D0B8" w14:textId="77777777" w:rsidR="00C70F05" w:rsidRDefault="00000000">
      <w:pPr>
        <w:numPr>
          <w:ilvl w:val="0"/>
          <w:numId w:val="1"/>
        </w:numPr>
        <w:spacing w:after="29"/>
      </w:pPr>
      <w:r>
        <w:t xml:space="preserve">O przyznaniu statusu CIS decyduje Wojewoda, który prowadzi także rejestr tych podmiotów. Ponadto wojewoda prowadzi również rejestr KIS.  </w:t>
      </w:r>
    </w:p>
    <w:p w14:paraId="7C44F557" w14:textId="77777777" w:rsidR="00C70F05" w:rsidRDefault="00000000">
      <w:pPr>
        <w:spacing w:after="63"/>
        <w:ind w:left="283" w:firstLine="0"/>
        <w:jc w:val="left"/>
      </w:pPr>
      <w:r>
        <w:t xml:space="preserve"> </w:t>
      </w:r>
    </w:p>
    <w:p w14:paraId="7C84FAEB" w14:textId="77777777" w:rsidR="00C70F05" w:rsidRDefault="00000000">
      <w:pPr>
        <w:numPr>
          <w:ilvl w:val="0"/>
          <w:numId w:val="1"/>
        </w:numPr>
      </w:pPr>
      <w:r>
        <w:t xml:space="preserve">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  </w:t>
      </w:r>
    </w:p>
    <w:p w14:paraId="149B145E" w14:textId="77777777" w:rsidR="00C70F05" w:rsidRDefault="00000000">
      <w:pPr>
        <w:spacing w:after="60"/>
        <w:ind w:left="283" w:firstLine="0"/>
        <w:jc w:val="left"/>
      </w:pPr>
      <w:r>
        <w:t xml:space="preserve"> </w:t>
      </w:r>
    </w:p>
    <w:p w14:paraId="1C690B87" w14:textId="77777777" w:rsidR="00C70F05" w:rsidRDefault="00000000">
      <w:pPr>
        <w:numPr>
          <w:ilvl w:val="0"/>
          <w:numId w:val="1"/>
        </w:numPr>
      </w:pPr>
      <w:r>
        <w:rPr>
          <w:b/>
        </w:rPr>
        <w:t>WTZ</w:t>
      </w:r>
      <w:r>
        <w:t xml:space="preserve"> mogą być tworzone, przez fundacje, stowarzyszenia i inne podmioty. Działają one w celu rehabilitacji społecznej i zawodowej osób niepełnosprawnych. Podmiot prowadzący WTZ zawiera z samorządem powiatu umowę regulującą między innymi warunki i wysokość dofinansowania kosztów utworzenia i działalności warsztatu ze środków PFRON.  </w:t>
      </w:r>
    </w:p>
    <w:p w14:paraId="04EC086C" w14:textId="77777777" w:rsidR="00C70F05" w:rsidRDefault="00000000">
      <w:pPr>
        <w:spacing w:after="63"/>
        <w:ind w:left="283" w:firstLine="0"/>
        <w:jc w:val="left"/>
      </w:pPr>
      <w:r>
        <w:t xml:space="preserve"> </w:t>
      </w:r>
    </w:p>
    <w:p w14:paraId="6E0BCA8F" w14:textId="77777777" w:rsidR="00C70F05" w:rsidRDefault="00000000">
      <w:pPr>
        <w:numPr>
          <w:ilvl w:val="0"/>
          <w:numId w:val="1"/>
        </w:numPr>
      </w:pPr>
      <w:r>
        <w:t xml:space="preserve">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</w:t>
      </w:r>
    </w:p>
    <w:p w14:paraId="5566BA0C" w14:textId="77777777" w:rsidR="00C70F05" w:rsidRDefault="00000000">
      <w:pPr>
        <w:spacing w:after="63"/>
        <w:ind w:left="283" w:firstLine="0"/>
        <w:jc w:val="left"/>
      </w:pPr>
      <w:r>
        <w:t xml:space="preserve"> </w:t>
      </w:r>
    </w:p>
    <w:p w14:paraId="60FC3FFD" w14:textId="77777777" w:rsidR="00C70F05" w:rsidRDefault="00000000">
      <w:pPr>
        <w:numPr>
          <w:ilvl w:val="0"/>
          <w:numId w:val="1"/>
        </w:numPr>
      </w:pPr>
      <w:r>
        <w:t xml:space="preserve">Pracodawcy zamierzający skorzystać z tego priorytetu powinni wykazać, że współfinansowane ze środków KFS działania zmierzające do podniesienia kompetencji pracowników związane są z ich zadaniami realizowanymi w CIS, KIS, WTZ, ZAZ, przedsiębiorstwie społecznym lub spółdzielni socjalnej.  </w:t>
      </w:r>
    </w:p>
    <w:p w14:paraId="482FC0C0" w14:textId="77777777" w:rsidR="00C70F05" w:rsidRDefault="00000000">
      <w:pPr>
        <w:spacing w:after="57"/>
        <w:ind w:left="283" w:firstLine="0"/>
        <w:jc w:val="left"/>
      </w:pPr>
      <w:r>
        <w:t xml:space="preserve"> </w:t>
      </w:r>
    </w:p>
    <w:p w14:paraId="6B02588B" w14:textId="77777777" w:rsidR="00C70F05" w:rsidRDefault="00000000">
      <w:pPr>
        <w:numPr>
          <w:ilvl w:val="0"/>
          <w:numId w:val="1"/>
        </w:numPr>
      </w:pPr>
      <w:r>
        <w:rPr>
          <w:b/>
        </w:rPr>
        <w:t>Przedsiębiorstwa społeczne</w:t>
      </w:r>
      <w:r>
        <w:t xml:space="preserve"> wpisane na listę przedsiębiorstw społecznych prowadzoną przez </w:t>
      </w:r>
      <w:proofErr w:type="spellStart"/>
      <w:r>
        <w:t>MRiPS</w:t>
      </w:r>
      <w:proofErr w:type="spellEnd"/>
      <w:r>
        <w:t xml:space="preserve"> – lista ta jest dostępna pod adresem </w:t>
      </w:r>
      <w:r>
        <w:lastRenderedPageBreak/>
        <w:t xml:space="preserve">http://www.bazaps.ekonomiaspoleczna.gov.pl/ w formie interaktywnej bazy danych. Lista jest prowadzona, weryfikowana i uzupełniana przez </w:t>
      </w:r>
      <w:proofErr w:type="spellStart"/>
      <w:r>
        <w:t>MRiPS</w:t>
      </w:r>
      <w:proofErr w:type="spellEnd"/>
      <w:r>
        <w:t xml:space="preserve">. Status </w:t>
      </w:r>
    </w:p>
    <w:p w14:paraId="540BC1AF" w14:textId="77777777" w:rsidR="00C70F05" w:rsidRDefault="00000000">
      <w:pPr>
        <w:tabs>
          <w:tab w:val="center" w:pos="1379"/>
          <w:tab w:val="center" w:pos="3037"/>
          <w:tab w:val="center" w:pos="4149"/>
          <w:tab w:val="center" w:pos="5056"/>
          <w:tab w:val="center" w:pos="5942"/>
          <w:tab w:val="center" w:pos="6995"/>
          <w:tab w:val="right" w:pos="9076"/>
        </w:tabs>
        <w:spacing w:after="29"/>
        <w:ind w:left="0" w:right="-6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przedsiębiorstwa </w:t>
      </w:r>
      <w:r>
        <w:tab/>
        <w:t xml:space="preserve">społecznego </w:t>
      </w:r>
      <w:r>
        <w:tab/>
        <w:t xml:space="preserve">mogą </w:t>
      </w:r>
      <w:r>
        <w:tab/>
        <w:t xml:space="preserve">uzyskać </w:t>
      </w:r>
      <w:r>
        <w:tab/>
        <w:t xml:space="preserve">m.in. </w:t>
      </w:r>
      <w:r>
        <w:tab/>
        <w:t xml:space="preserve">organizacje </w:t>
      </w:r>
      <w:r>
        <w:tab/>
        <w:t xml:space="preserve">pozarządowe  </w:t>
      </w:r>
    </w:p>
    <w:p w14:paraId="621233B5" w14:textId="77777777" w:rsidR="00C70F05" w:rsidRDefault="00000000">
      <w:pPr>
        <w:ind w:left="566" w:firstLine="0"/>
      </w:pPr>
      <w:r>
        <w:t xml:space="preserve">(np. fundacje i stowarzyszenia) spółki non-profit, spółdzielnie socjalne, a także kościelne osoby prawne.  </w:t>
      </w:r>
    </w:p>
    <w:p w14:paraId="6F569E7D" w14:textId="77777777" w:rsidR="00C70F05" w:rsidRDefault="00000000">
      <w:pPr>
        <w:spacing w:after="64"/>
        <w:ind w:left="283" w:firstLine="0"/>
        <w:jc w:val="left"/>
      </w:pPr>
      <w:r>
        <w:t xml:space="preserve"> </w:t>
      </w:r>
    </w:p>
    <w:p w14:paraId="690B054A" w14:textId="77777777" w:rsidR="00C70F05" w:rsidRDefault="00000000">
      <w:pPr>
        <w:numPr>
          <w:ilvl w:val="0"/>
          <w:numId w:val="1"/>
        </w:numPr>
      </w:pPr>
      <w:r>
        <w:rPr>
          <w:b/>
        </w:rPr>
        <w:t>Spółdzielnie socjalne</w:t>
      </w:r>
      <w:r>
        <w:t xml:space="preserve"> – 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 czy spółdzielnia socjalna posiada status przedsiębiorstwa społecznego, jest ona uprawniona do skorzystania ze środków w ramach tego priorytetu.  </w:t>
      </w:r>
    </w:p>
    <w:p w14:paraId="66D6C6AA" w14:textId="77777777" w:rsidR="00C70F05" w:rsidRDefault="00000000">
      <w:pPr>
        <w:spacing w:after="64"/>
        <w:ind w:left="283" w:firstLine="0"/>
        <w:jc w:val="left"/>
      </w:pPr>
      <w:r>
        <w:t xml:space="preserve"> </w:t>
      </w:r>
    </w:p>
    <w:p w14:paraId="58905F58" w14:textId="77777777" w:rsidR="00C70F05" w:rsidRDefault="00000000">
      <w:pPr>
        <w:numPr>
          <w:ilvl w:val="0"/>
          <w:numId w:val="1"/>
        </w:numPr>
      </w:pPr>
      <w:r>
        <w:rPr>
          <w:b/>
        </w:rPr>
        <w:t>Zakłady aktywności zawodowej</w:t>
      </w:r>
      <w:r>
        <w:t xml:space="preserve"> – to podmioty, które mogą być tworzone przez gminę, powiat oraz fundację, stowarzyszenie lub inną organizację społeczną, decyzję  o przyznaniu statusu zakładu aktywności zawodowej wydaje wojewoda.  </w:t>
      </w:r>
    </w:p>
    <w:p w14:paraId="35A688EA" w14:textId="77777777" w:rsidR="00C70F05" w:rsidRDefault="00000000">
      <w:pPr>
        <w:spacing w:after="61"/>
        <w:ind w:left="283" w:firstLine="0"/>
        <w:jc w:val="left"/>
      </w:pPr>
      <w:r>
        <w:t xml:space="preserve"> </w:t>
      </w:r>
    </w:p>
    <w:p w14:paraId="50DF3998" w14:textId="77777777" w:rsidR="00C70F05" w:rsidRDefault="00000000">
      <w:pPr>
        <w:numPr>
          <w:ilvl w:val="0"/>
          <w:numId w:val="1"/>
        </w:numPr>
      </w:pPr>
      <w:r>
        <w:t xml:space="preserve">Ze środków w ramach tego priorytetu korzystać mogą wszyscy pracownicy </w:t>
      </w:r>
    </w:p>
    <w:p w14:paraId="1EB16C17" w14:textId="77777777" w:rsidR="00C70F05" w:rsidRDefault="00000000">
      <w:pPr>
        <w:spacing w:after="0"/>
        <w:ind w:left="10" w:right="-6" w:hanging="10"/>
        <w:jc w:val="right"/>
      </w:pPr>
      <w:r>
        <w:t xml:space="preserve">przedsiębiorstw społecznych i ZAZ oraz pracownicy i członkowie spółdzielni socjalnych.  </w:t>
      </w:r>
    </w:p>
    <w:p w14:paraId="178C691A" w14:textId="77777777" w:rsidR="00C70F05" w:rsidRDefault="00000000">
      <w:pPr>
        <w:spacing w:after="20"/>
        <w:ind w:left="0" w:firstLine="0"/>
        <w:jc w:val="left"/>
      </w:pPr>
      <w:r>
        <w:t xml:space="preserve"> </w:t>
      </w:r>
    </w:p>
    <w:p w14:paraId="00A8CD83" w14:textId="77777777" w:rsidR="00C70F05" w:rsidRDefault="00000000">
      <w:pPr>
        <w:spacing w:after="4" w:line="262" w:lineRule="auto"/>
        <w:ind w:left="-5" w:hanging="10"/>
      </w:pPr>
      <w:r>
        <w:rPr>
          <w:b/>
        </w:rPr>
        <w:t xml:space="preserve">Priorytet nr 2, tj. Wsparcie kształcenia ustawicznego osób z orzeczonym stopniem niepełnosprawności. </w:t>
      </w:r>
    </w:p>
    <w:p w14:paraId="66E0BD81" w14:textId="77777777" w:rsidR="00C70F05" w:rsidRDefault="00000000">
      <w:pPr>
        <w:spacing w:after="0"/>
        <w:ind w:left="0" w:firstLine="0"/>
        <w:jc w:val="left"/>
      </w:pPr>
      <w:r>
        <w:t xml:space="preserve"> </w:t>
      </w:r>
    </w:p>
    <w:p w14:paraId="56D2F06E" w14:textId="7375CDE7" w:rsidR="00C70F05" w:rsidRDefault="00000000">
      <w:pPr>
        <w:ind w:left="0" w:firstLine="0"/>
      </w:pPr>
      <w:r>
        <w:t xml:space="preserve">Wnioskodawca składający wniosek o środki w ramach powyższego priorytetu powinien udowodnić posiadanie przez kandydata na szkolenie orzeczenia o niepełnosprawności  tj. przedstawić orzeczenie o niepełnosprawności kandydata na szkolenie bądź oświadczenie  </w:t>
      </w:r>
      <w:r w:rsidR="0048708A">
        <w:t xml:space="preserve">                    </w:t>
      </w:r>
      <w:r>
        <w:t xml:space="preserve">o posiadaniu takiego orzeczenia. </w:t>
      </w:r>
    </w:p>
    <w:p w14:paraId="755E86D9" w14:textId="77777777" w:rsidR="00C70F05" w:rsidRDefault="00000000">
      <w:pPr>
        <w:spacing w:after="0"/>
        <w:ind w:left="0" w:firstLine="0"/>
        <w:jc w:val="left"/>
      </w:pPr>
      <w:r>
        <w:t xml:space="preserve"> </w:t>
      </w:r>
    </w:p>
    <w:p w14:paraId="46681955" w14:textId="77777777" w:rsidR="00C70F05" w:rsidRDefault="00000000">
      <w:pPr>
        <w:ind w:left="0" w:firstLine="0"/>
      </w:pPr>
      <w:r>
        <w:t xml:space="preserve">Temat szkolenia/kursu nie jest narzucony z góry. W uzasadnieniu należy wykazać potrzebę nabycia umiejętności.  </w:t>
      </w:r>
    </w:p>
    <w:p w14:paraId="22A0BE4D" w14:textId="77777777" w:rsidR="00C70F05" w:rsidRDefault="00000000">
      <w:pPr>
        <w:spacing w:after="0"/>
        <w:ind w:left="0" w:firstLine="0"/>
        <w:jc w:val="left"/>
      </w:pPr>
      <w:r>
        <w:t xml:space="preserve"> </w:t>
      </w:r>
    </w:p>
    <w:p w14:paraId="0BB16372" w14:textId="77777777" w:rsidR="00C70F05" w:rsidRDefault="00000000">
      <w:pPr>
        <w:spacing w:after="22"/>
        <w:ind w:left="0" w:firstLine="0"/>
        <w:jc w:val="left"/>
      </w:pPr>
      <w:r>
        <w:t xml:space="preserve"> </w:t>
      </w:r>
    </w:p>
    <w:p w14:paraId="2F40CD3A" w14:textId="77777777" w:rsidR="00C70F05" w:rsidRDefault="00000000">
      <w:pPr>
        <w:spacing w:after="4" w:line="262" w:lineRule="auto"/>
        <w:ind w:left="-5" w:hanging="10"/>
      </w:pPr>
      <w:r>
        <w:rPr>
          <w:b/>
        </w:rPr>
        <w:t xml:space="preserve">Priorytet nr 3, tj. Wsparcie kształcenia ustawicznego w obszarach/branżach kluczowych dla rozwoju powiatu/województwa wskazanych w dokumentach strategicznych/planach rozwoju. </w:t>
      </w:r>
    </w:p>
    <w:p w14:paraId="640E087A" w14:textId="77777777" w:rsidR="00C70F05" w:rsidRDefault="00000000">
      <w:pPr>
        <w:spacing w:after="23"/>
        <w:ind w:left="0" w:firstLine="0"/>
        <w:jc w:val="left"/>
      </w:pPr>
      <w:r>
        <w:t xml:space="preserve"> </w:t>
      </w:r>
    </w:p>
    <w:p w14:paraId="29D1915A" w14:textId="00A1E2B5" w:rsidR="00C70F05" w:rsidRDefault="00000000" w:rsidP="0048708A">
      <w:pPr>
        <w:ind w:left="0" w:firstLine="0"/>
      </w:pPr>
      <w:r>
        <w:t>Wnioskodawca, który chce spełnić wymagania priorytetu nr 3 powinien udowodnić, że prowadzi działalność w jednej ze wskazanych przez urząd branż/obszarów, uznanych jako wymagające szczególnego wsparcia w postaci szkoleń lub studiów podyplomowych.</w:t>
      </w:r>
      <w:r>
        <w:rPr>
          <w:b/>
        </w:rPr>
        <w:t xml:space="preserve"> </w:t>
      </w:r>
      <w:r>
        <w:t xml:space="preserve">Powiatowy Urząd Pracy w </w:t>
      </w:r>
      <w:r w:rsidR="0048708A">
        <w:t>Nowym Mieście Lubawskim</w:t>
      </w:r>
      <w:r>
        <w:t xml:space="preserve"> wskazuje następujące branże/obszary działające na terenie powiatu </w:t>
      </w:r>
      <w:r w:rsidR="0048708A">
        <w:t xml:space="preserve">nowomiejskiego </w:t>
      </w:r>
      <w:r>
        <w:t xml:space="preserve">i województwa warmińsko-mazurskiego: </w:t>
      </w:r>
    </w:p>
    <w:p w14:paraId="67C205EE" w14:textId="7FDA0460" w:rsidR="00C70F05" w:rsidRDefault="0048708A">
      <w:pPr>
        <w:spacing w:after="40" w:line="262" w:lineRule="auto"/>
        <w:ind w:left="-5" w:hanging="10"/>
      </w:pPr>
      <w:r>
        <w:rPr>
          <w:b/>
        </w:rPr>
        <w:t>1</w:t>
      </w:r>
      <w:r w:rsidR="00000000">
        <w:rPr>
          <w:b/>
        </w:rPr>
        <w:t>)</w:t>
      </w:r>
      <w:r w:rsidR="00000000">
        <w:t xml:space="preserve"> </w:t>
      </w:r>
      <w:r w:rsidR="00000000">
        <w:rPr>
          <w:b/>
        </w:rPr>
        <w:t>żywność wysokiej jakości</w:t>
      </w:r>
      <w:r w:rsidR="00000000">
        <w:t xml:space="preserve">, w tym: </w:t>
      </w:r>
    </w:p>
    <w:p w14:paraId="196A6C4E" w14:textId="125C3202" w:rsidR="00C70F05" w:rsidRDefault="00000000">
      <w:pPr>
        <w:numPr>
          <w:ilvl w:val="0"/>
          <w:numId w:val="3"/>
        </w:numPr>
        <w:ind w:hanging="360"/>
      </w:pPr>
      <w:r>
        <w:rPr>
          <w:u w:val="single" w:color="000000"/>
        </w:rPr>
        <w:t>przetwórstwo spożywcze</w:t>
      </w:r>
      <w:r>
        <w:t xml:space="preserve"> (m.in. przetwarzanie i  konserwowanie ryb, mięsa oraz produkcja wyrobów z mięs, produkcja wyrobów mleczarskich, przetwórstwo owoców i warzyw, produkcja soków, wód mineralnych i innych napojów, produkcja wyrobów </w:t>
      </w:r>
      <w:r>
        <w:lastRenderedPageBreak/>
        <w:t xml:space="preserve">piekarskich, produkcja wyrobów cukierniczych, produkcja napojów alkoholowych  </w:t>
      </w:r>
      <w:r w:rsidR="0048708A">
        <w:t xml:space="preserve">                   </w:t>
      </w:r>
      <w:r>
        <w:t xml:space="preserve">i piwa), </w:t>
      </w:r>
    </w:p>
    <w:p w14:paraId="22C9B4F2" w14:textId="77777777" w:rsidR="00C70F05" w:rsidRDefault="00000000">
      <w:pPr>
        <w:numPr>
          <w:ilvl w:val="0"/>
          <w:numId w:val="3"/>
        </w:numPr>
        <w:spacing w:after="43"/>
        <w:ind w:hanging="360"/>
      </w:pPr>
      <w:r>
        <w:rPr>
          <w:u w:val="single" w:color="000000"/>
        </w:rPr>
        <w:t>produkcja maszyn dla rolnictwa</w:t>
      </w:r>
      <w:r>
        <w:t xml:space="preserve"> (m.in. produkcja asortymentu dla hodowli ryb, do natleniania stawów rybnych, produkcja maszyn rolniczych, produkcja i sprzedaż maszyn i linii produkcyjnych do przetwórstwa rolno-spożywczego), </w:t>
      </w:r>
    </w:p>
    <w:p w14:paraId="2F2F5BC4" w14:textId="77777777" w:rsidR="00C70F05" w:rsidRDefault="00000000">
      <w:pPr>
        <w:numPr>
          <w:ilvl w:val="0"/>
          <w:numId w:val="3"/>
        </w:numPr>
        <w:spacing w:after="33"/>
        <w:ind w:hanging="360"/>
      </w:pPr>
      <w:r>
        <w:rPr>
          <w:u w:val="single" w:color="000000"/>
        </w:rPr>
        <w:t>produkcja żywności nieprzetworzonej</w:t>
      </w:r>
      <w:r>
        <w:t xml:space="preserve"> (m.in. uprawa warzyw i owoców, produkty </w:t>
      </w:r>
      <w:proofErr w:type="spellStart"/>
      <w:r>
        <w:t>zwierzęcopochodne</w:t>
      </w:r>
      <w:proofErr w:type="spellEnd"/>
      <w:r>
        <w:t xml:space="preserve"> – mleko, jaja itp., uprawa zbóż, produkcja nasion i traw), </w:t>
      </w:r>
    </w:p>
    <w:p w14:paraId="46E03C5A" w14:textId="77777777" w:rsidR="00C70F05" w:rsidRDefault="00000000">
      <w:pPr>
        <w:numPr>
          <w:ilvl w:val="0"/>
          <w:numId w:val="3"/>
        </w:numPr>
        <w:ind w:hanging="360"/>
      </w:pPr>
      <w:r>
        <w:rPr>
          <w:u w:val="single" w:color="000000"/>
        </w:rPr>
        <w:t xml:space="preserve">przetwarzanie i unieszkodliwianie odpadów </w:t>
      </w:r>
      <w:proofErr w:type="spellStart"/>
      <w:r>
        <w:rPr>
          <w:u w:val="single" w:color="000000"/>
        </w:rPr>
        <w:t>porolniczych</w:t>
      </w:r>
      <w:proofErr w:type="spellEnd"/>
      <w:r>
        <w:t xml:space="preserve"> (m.in. utylizacja odpadów pochodzenia zwierzęcego, odzyskiwanie energii i ciepła z odpadów rolniczych – biogazownie), </w:t>
      </w:r>
    </w:p>
    <w:p w14:paraId="237833D8" w14:textId="77777777" w:rsidR="00C70F05" w:rsidRDefault="00000000">
      <w:pPr>
        <w:numPr>
          <w:ilvl w:val="0"/>
          <w:numId w:val="3"/>
        </w:numPr>
        <w:spacing w:after="40"/>
        <w:ind w:hanging="360"/>
      </w:pPr>
      <w:r>
        <w:rPr>
          <w:u w:val="single" w:color="000000"/>
        </w:rPr>
        <w:t>produkcja i usługi na rzecz hodowli zwierząt</w:t>
      </w:r>
      <w:r>
        <w:t xml:space="preserve"> (m.in. produkcja paszy i karmy dla zwierząt), </w:t>
      </w:r>
    </w:p>
    <w:p w14:paraId="5569B591" w14:textId="77777777" w:rsidR="00C70F05" w:rsidRDefault="00000000">
      <w:pPr>
        <w:numPr>
          <w:ilvl w:val="0"/>
          <w:numId w:val="3"/>
        </w:numPr>
        <w:ind w:hanging="360"/>
      </w:pPr>
      <w:r>
        <w:rPr>
          <w:u w:val="single" w:color="000000"/>
        </w:rPr>
        <w:t>chów i hodowla ryb oraz zwierząt</w:t>
      </w:r>
      <w:r>
        <w:t xml:space="preserve"> (m.in.. hodowla ryb i innych organizmów wodnych, hodowla bydła i drobiu, pszczelarstwo), </w:t>
      </w:r>
    </w:p>
    <w:p w14:paraId="28FABD75" w14:textId="77777777" w:rsidR="0048708A" w:rsidRDefault="00000000">
      <w:pPr>
        <w:numPr>
          <w:ilvl w:val="0"/>
          <w:numId w:val="3"/>
        </w:numPr>
        <w:ind w:hanging="360"/>
      </w:pPr>
      <w:r>
        <w:rPr>
          <w:u w:val="single" w:color="000000"/>
        </w:rPr>
        <w:t>nauka i Instytucje Otoczenia Biznesu</w:t>
      </w:r>
      <w:r>
        <w:t xml:space="preserve"> (m.in. instytuty, wydziały, laboratoria na uczelniach i Jednostkach Badawczo-Rozwojowych, agencje organizacji, stowarzyszeń klastrów, grupy producentów rolnych, edukacja zawodowa); </w:t>
      </w:r>
    </w:p>
    <w:p w14:paraId="53675C2F" w14:textId="422BA244" w:rsidR="00C70F05" w:rsidRDefault="0048708A" w:rsidP="0048708A">
      <w:pPr>
        <w:ind w:left="345" w:firstLine="0"/>
      </w:pPr>
      <w:r>
        <w:rPr>
          <w:b/>
        </w:rPr>
        <w:t>2</w:t>
      </w:r>
      <w:r w:rsidR="00000000">
        <w:rPr>
          <w:b/>
        </w:rPr>
        <w:t>)</w:t>
      </w:r>
      <w:r w:rsidR="00000000">
        <w:t xml:space="preserve"> </w:t>
      </w:r>
      <w:r w:rsidR="00000000">
        <w:rPr>
          <w:b/>
        </w:rPr>
        <w:t>drewno i meblarstwo</w:t>
      </w:r>
      <w:r w:rsidR="00000000">
        <w:t xml:space="preserve">, w tym: </w:t>
      </w:r>
    </w:p>
    <w:p w14:paraId="540FF5C8" w14:textId="0604BAA0" w:rsidR="00C70F05" w:rsidRDefault="00000000" w:rsidP="0048708A">
      <w:pPr>
        <w:numPr>
          <w:ilvl w:val="0"/>
          <w:numId w:val="3"/>
        </w:numPr>
        <w:ind w:hanging="360"/>
      </w:pPr>
      <w:r>
        <w:rPr>
          <w:u w:val="single" w:color="000000"/>
        </w:rPr>
        <w:t>produkcja mebli</w:t>
      </w:r>
      <w:r>
        <w:t xml:space="preserve"> (m.in. produkcja mebli biurowych, sklepowych kuchennych, produkcja akcesoriów meblowych, tapicerstwo meblowe, produkcja kleju, produkcja materaców, produkcja wyrobów z tworzyw sztucznych, produkcja maszyn, produkcja szkła), </w:t>
      </w:r>
    </w:p>
    <w:p w14:paraId="0354E93A" w14:textId="77777777" w:rsidR="00C70F05" w:rsidRDefault="00000000">
      <w:pPr>
        <w:numPr>
          <w:ilvl w:val="0"/>
          <w:numId w:val="3"/>
        </w:numPr>
        <w:spacing w:after="38"/>
        <w:ind w:hanging="360"/>
      </w:pPr>
      <w:r>
        <w:rPr>
          <w:u w:val="single" w:color="000000"/>
        </w:rPr>
        <w:t>produkcja innych wyrobów stolarskich</w:t>
      </w:r>
      <w:r>
        <w:t xml:space="preserve"> (m.in. produkcja elementów drewnianych do ogrodów, usługi stolarskie, stolarka otworowa oraz produkcja metalowych elementów stolarki budowlanej), </w:t>
      </w:r>
    </w:p>
    <w:p w14:paraId="6B841B4D" w14:textId="77777777" w:rsidR="00C70F05" w:rsidRDefault="00000000">
      <w:pPr>
        <w:numPr>
          <w:ilvl w:val="0"/>
          <w:numId w:val="3"/>
        </w:numPr>
        <w:ind w:hanging="360"/>
      </w:pPr>
      <w:r>
        <w:rPr>
          <w:u w:val="single" w:color="000000"/>
        </w:rPr>
        <w:t xml:space="preserve">sprzedaż produktów </w:t>
      </w:r>
      <w:proofErr w:type="spellStart"/>
      <w:r>
        <w:rPr>
          <w:u w:val="single" w:color="000000"/>
        </w:rPr>
        <w:t>drzewno</w:t>
      </w:r>
      <w:proofErr w:type="spellEnd"/>
      <w:r>
        <w:rPr>
          <w:u w:val="single" w:color="000000"/>
        </w:rPr>
        <w:t>-meblarskich</w:t>
      </w:r>
      <w:r>
        <w:t xml:space="preserve"> (m.in.: sprzedaż mebli, sprzedaż okien i drzwi drewnianych, sprzedaż rolet i zamków do drzwi, montaż systemów antywłamaniowych), </w:t>
      </w:r>
    </w:p>
    <w:p w14:paraId="461852E2" w14:textId="77777777" w:rsidR="00C70F05" w:rsidRDefault="00000000">
      <w:pPr>
        <w:numPr>
          <w:ilvl w:val="0"/>
          <w:numId w:val="3"/>
        </w:numPr>
        <w:spacing w:after="53" w:line="239" w:lineRule="auto"/>
        <w:ind w:hanging="360"/>
      </w:pPr>
      <w:r>
        <w:rPr>
          <w:u w:val="single" w:color="000000"/>
        </w:rPr>
        <w:t>nauka i Instytucje Otoczenia Biznesu</w:t>
      </w:r>
      <w:r>
        <w:t xml:space="preserve"> (m.in. instytuty, wydziały, laboratoria na uczelniach i Jednostkach Badawczo Rozwojowych, klastry meblarskie, edukacja zawodowa), </w:t>
      </w:r>
    </w:p>
    <w:p w14:paraId="2E3086E3" w14:textId="77777777" w:rsidR="00C70F05" w:rsidRDefault="00000000">
      <w:pPr>
        <w:numPr>
          <w:ilvl w:val="0"/>
          <w:numId w:val="3"/>
        </w:numPr>
        <w:spacing w:after="37"/>
        <w:ind w:hanging="360"/>
      </w:pPr>
      <w:r>
        <w:rPr>
          <w:u w:val="single" w:color="000000"/>
        </w:rPr>
        <w:t>naprawa i konserwacja</w:t>
      </w:r>
      <w:r>
        <w:t xml:space="preserve"> (m.in. konserwacja elementów drewnianych, renowacja mebli, naprawa zamków), </w:t>
      </w:r>
    </w:p>
    <w:p w14:paraId="16B383B1" w14:textId="77777777" w:rsidR="00C70F05" w:rsidRDefault="00000000">
      <w:pPr>
        <w:numPr>
          <w:ilvl w:val="0"/>
          <w:numId w:val="3"/>
        </w:numPr>
        <w:ind w:hanging="360"/>
      </w:pPr>
      <w:r>
        <w:rPr>
          <w:u w:val="single" w:color="000000"/>
        </w:rPr>
        <w:t>usługi projektowe</w:t>
      </w:r>
      <w:r>
        <w:t xml:space="preserve"> (m.in. projektowanie mebli, aranżacja wnętrz), </w:t>
      </w:r>
    </w:p>
    <w:p w14:paraId="7FCFCCE0" w14:textId="77777777" w:rsidR="00C70F05" w:rsidRDefault="00000000">
      <w:pPr>
        <w:numPr>
          <w:ilvl w:val="0"/>
          <w:numId w:val="3"/>
        </w:numPr>
        <w:ind w:hanging="360"/>
      </w:pPr>
      <w:r>
        <w:rPr>
          <w:u w:val="single" w:color="000000"/>
        </w:rPr>
        <w:t>przetwórstwo i sprzedaż drewna</w:t>
      </w:r>
      <w:r>
        <w:t xml:space="preserve"> (m.in. produkcja wyrobów tartacznych, produkcja desek budowlanych, podłogowych, konstrukcji dachowych, produkcja arkuszy fornirowych, leśnictwo i pozyskiwanie drewna, sprzedaż drewna); </w:t>
      </w:r>
    </w:p>
    <w:p w14:paraId="61F3BAB0" w14:textId="65974F57" w:rsidR="00C70F05" w:rsidRPr="0048708A" w:rsidRDefault="0048708A">
      <w:pPr>
        <w:spacing w:after="27"/>
        <w:ind w:left="0" w:firstLine="0"/>
        <w:rPr>
          <w:b/>
          <w:bCs/>
        </w:rPr>
      </w:pPr>
      <w:r w:rsidRPr="0048708A">
        <w:rPr>
          <w:b/>
          <w:bCs/>
        </w:rPr>
        <w:t>3</w:t>
      </w:r>
      <w:r w:rsidR="00000000" w:rsidRPr="0048708A">
        <w:rPr>
          <w:b/>
          <w:bCs/>
        </w:rPr>
        <w:t xml:space="preserve">) zdrowe życie, w tym m.in.: </w:t>
      </w:r>
    </w:p>
    <w:p w14:paraId="5E4DE1F4" w14:textId="77777777" w:rsidR="00C70F05" w:rsidRDefault="00000000">
      <w:pPr>
        <w:numPr>
          <w:ilvl w:val="0"/>
          <w:numId w:val="4"/>
        </w:numPr>
        <w:spacing w:after="28"/>
        <w:ind w:hanging="360"/>
      </w:pPr>
      <w:r>
        <w:rPr>
          <w:u w:val="single" w:color="000000"/>
        </w:rPr>
        <w:t>producenci i dystrybutorzy sprzętu oraz produktów medycznych</w:t>
      </w:r>
      <w:r>
        <w:t xml:space="preserve"> (m.in.: producenci  i dystrybutorzy sprzętu medycznego i prozdrowotnego, producenci i dystrybutorzy  farmaceutyków i suplementów, pszczelarstwo), </w:t>
      </w:r>
    </w:p>
    <w:p w14:paraId="6CE23CAF" w14:textId="77777777" w:rsidR="00C70F05" w:rsidRDefault="00000000">
      <w:pPr>
        <w:numPr>
          <w:ilvl w:val="0"/>
          <w:numId w:val="4"/>
        </w:numPr>
        <w:ind w:hanging="360"/>
      </w:pPr>
      <w:r>
        <w:rPr>
          <w:u w:val="single" w:color="000000"/>
        </w:rPr>
        <w:t xml:space="preserve">dostawcy usług medycznych i </w:t>
      </w:r>
      <w:proofErr w:type="spellStart"/>
      <w:r>
        <w:rPr>
          <w:u w:val="single" w:color="000000"/>
        </w:rPr>
        <w:t>okołomedycznych</w:t>
      </w:r>
      <w:proofErr w:type="spellEnd"/>
      <w:r>
        <w:t xml:space="preserve"> (m. in.: zakłady ambulatoryjnej opieki zdrowotnej, praktyki lekarskie i przychodnie, szpitale ogólne i uzdrowiskowe zakłady stacjonarnej, całodobowej opieki psychiatrycznej), </w:t>
      </w:r>
    </w:p>
    <w:p w14:paraId="3E3EE6C2" w14:textId="77777777" w:rsidR="00C70F05" w:rsidRDefault="00000000">
      <w:pPr>
        <w:numPr>
          <w:ilvl w:val="0"/>
          <w:numId w:val="4"/>
        </w:numPr>
        <w:spacing w:after="71" w:line="237" w:lineRule="auto"/>
        <w:ind w:hanging="360"/>
      </w:pPr>
      <w:r>
        <w:rPr>
          <w:u w:val="single" w:color="000000"/>
        </w:rPr>
        <w:t>sektor ICT wyspecjalizowany w zakresie ochrony zdrowia</w:t>
      </w:r>
      <w:r>
        <w:t xml:space="preserve"> (działalność związana  z oprogramowaniem), </w:t>
      </w:r>
    </w:p>
    <w:p w14:paraId="0E276A96" w14:textId="77777777" w:rsidR="00C70F05" w:rsidRDefault="00000000">
      <w:pPr>
        <w:numPr>
          <w:ilvl w:val="0"/>
          <w:numId w:val="4"/>
        </w:numPr>
        <w:spacing w:after="41"/>
        <w:ind w:hanging="360"/>
      </w:pPr>
      <w:r>
        <w:rPr>
          <w:u w:val="single" w:color="000000"/>
        </w:rPr>
        <w:t>dostawcy produktów i usług środowiskowych</w:t>
      </w:r>
      <w:r>
        <w:t xml:space="preserve"> (m.in.: zbieranie odpadów niebezpiecznych, wytwarzanie energii elektrycznej, przetwarzanie i unieszkodliwianie </w:t>
      </w:r>
      <w:r>
        <w:lastRenderedPageBreak/>
        <w:t xml:space="preserve">odpadów niebezpiecznych, działalność ogrodów botanicznych i zoologicznych oraz obszarów i obiektów ochrony przyrody), </w:t>
      </w:r>
    </w:p>
    <w:p w14:paraId="1930A242" w14:textId="77777777" w:rsidR="00C70F05" w:rsidRDefault="00000000">
      <w:pPr>
        <w:numPr>
          <w:ilvl w:val="0"/>
          <w:numId w:val="4"/>
        </w:numPr>
        <w:ind w:hanging="360"/>
      </w:pPr>
      <w:r>
        <w:rPr>
          <w:u w:val="single" w:color="000000"/>
        </w:rPr>
        <w:t>producenci i dostawcy wiedzy w zakresie zdrowego życia</w:t>
      </w:r>
      <w:r>
        <w:t xml:space="preserve"> (m.in.: podmioty prowadzące działalność badawczą, uczelnie wyższe, parki naukowo–technologiczne, instytucje otoczenia biznesu). </w:t>
      </w:r>
    </w:p>
    <w:p w14:paraId="79CD866E" w14:textId="77777777" w:rsidR="00C70F05" w:rsidRDefault="00000000">
      <w:pPr>
        <w:spacing w:after="10"/>
        <w:ind w:left="0" w:firstLine="0"/>
        <w:jc w:val="left"/>
      </w:pPr>
      <w:r>
        <w:t xml:space="preserve"> </w:t>
      </w:r>
    </w:p>
    <w:p w14:paraId="5CAB1C9A" w14:textId="77777777" w:rsidR="00C70F05" w:rsidRDefault="00000000">
      <w:pPr>
        <w:ind w:left="0" w:firstLine="0"/>
      </w:pPr>
      <w:r>
        <w:t xml:space="preserve">Ww. branże zostały określone na podstawie Strategii Rozwoju Społeczno-Gospodarczego Województwa Warmińsko-Mazurskiego 2030 oraz uchwały nr 42/496/22/VI Zarządu Województwa Warmińsko‐Mazurskiego z dnia 29 sierpnia 2022 r. w sprawie: przyjęcia inteligentnej specjalizacji województwa warmińsko‐mazurskiego pn. „Zdrowe Życie” </w:t>
      </w:r>
    </w:p>
    <w:p w14:paraId="2B75167D" w14:textId="77777777" w:rsidR="00C70F05" w:rsidRDefault="00000000">
      <w:pPr>
        <w:spacing w:after="0"/>
        <w:ind w:left="0" w:firstLine="0"/>
        <w:jc w:val="left"/>
      </w:pPr>
      <w:r>
        <w:t xml:space="preserve"> </w:t>
      </w:r>
    </w:p>
    <w:p w14:paraId="45EC8B62" w14:textId="77777777" w:rsidR="00C70F05" w:rsidRDefault="00000000">
      <w:pPr>
        <w:spacing w:line="250" w:lineRule="auto"/>
        <w:ind w:left="-5" w:hanging="10"/>
        <w:jc w:val="left"/>
      </w:pPr>
      <w:hyperlink r:id="rId7">
        <w:r>
          <w:rPr>
            <w:color w:val="0563C1"/>
            <w:u w:val="single" w:color="0563C1"/>
          </w:rPr>
          <w:t>https://strategia.warmia.mazury.pl/strategia</w:t>
        </w:r>
      </w:hyperlink>
      <w:hyperlink r:id="rId8">
        <w:r>
          <w:rPr>
            <w:color w:val="0563C1"/>
            <w:u w:val="single" w:color="0563C1"/>
          </w:rPr>
          <w:t>-</w:t>
        </w:r>
      </w:hyperlink>
      <w:hyperlink r:id="rId9">
        <w:r>
          <w:rPr>
            <w:color w:val="0563C1"/>
            <w:u w:val="single" w:color="0563C1"/>
          </w:rPr>
          <w:t>2030/</w:t>
        </w:r>
      </w:hyperlink>
      <w:hyperlink r:id="rId10">
        <w:r>
          <w:t xml:space="preserve"> </w:t>
        </w:r>
      </w:hyperlink>
      <w:r>
        <w:t xml:space="preserve"> </w:t>
      </w:r>
    </w:p>
    <w:p w14:paraId="1EABFD81" w14:textId="77777777" w:rsidR="00C70F05" w:rsidRDefault="00000000">
      <w:pPr>
        <w:spacing w:after="0"/>
        <w:ind w:left="0" w:firstLine="0"/>
        <w:jc w:val="left"/>
      </w:pPr>
      <w:r>
        <w:t xml:space="preserve"> </w:t>
      </w:r>
    </w:p>
    <w:p w14:paraId="4728FB9B" w14:textId="77777777" w:rsidR="00C70F05" w:rsidRDefault="00000000">
      <w:pPr>
        <w:spacing w:line="250" w:lineRule="auto"/>
        <w:ind w:left="-5" w:hanging="10"/>
        <w:jc w:val="left"/>
      </w:pPr>
      <w:hyperlink r:id="rId11">
        <w:r>
          <w:rPr>
            <w:color w:val="0563C1"/>
            <w:u w:val="single" w:color="0563C1"/>
          </w:rPr>
          <w:t>https://bip.warmia.mazury.pl/akty/16175/uchwala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w</w:t>
        </w:r>
      </w:hyperlink>
      <w:hyperlink r:id="rId14">
        <w:r>
          <w:rPr>
            <w:color w:val="0563C1"/>
            <w:u w:val="single" w:color="0563C1"/>
          </w:rPr>
          <w:t>-</w:t>
        </w:r>
      </w:hyperlink>
      <w:hyperlink r:id="rId15">
        <w:r>
          <w:rPr>
            <w:color w:val="0563C1"/>
            <w:u w:val="single" w:color="0563C1"/>
          </w:rPr>
          <w:t>sprawie</w:t>
        </w:r>
      </w:hyperlink>
      <w:hyperlink r:id="rId16">
        <w:r>
          <w:rPr>
            <w:color w:val="0563C1"/>
            <w:u w:val="single" w:color="0563C1"/>
          </w:rPr>
          <w:t>-</w:t>
        </w:r>
      </w:hyperlink>
      <w:hyperlink r:id="rId17">
        <w:r>
          <w:rPr>
            <w:color w:val="0563C1"/>
            <w:u w:val="single" w:color="0563C1"/>
          </w:rPr>
          <w:t>przyjecia</w:t>
        </w:r>
      </w:hyperlink>
      <w:hyperlink r:id="rId18">
        <w:r>
          <w:rPr>
            <w:color w:val="0563C1"/>
            <w:u w:val="single" w:color="0563C1"/>
          </w:rPr>
          <w:t>-</w:t>
        </w:r>
      </w:hyperlink>
      <w:hyperlink r:id="rId19">
        <w:r>
          <w:rPr>
            <w:color w:val="0563C1"/>
            <w:u w:val="single" w:color="0563C1"/>
          </w:rPr>
          <w:t>inteligentnej</w:t>
        </w:r>
      </w:hyperlink>
      <w:hyperlink r:id="rId20"/>
      <w:hyperlink r:id="rId21">
        <w:r>
          <w:rPr>
            <w:color w:val="0563C1"/>
            <w:u w:val="single" w:color="0563C1"/>
          </w:rPr>
          <w:t>specjalizacji</w:t>
        </w:r>
      </w:hyperlink>
      <w:hyperlink r:id="rId22">
        <w:r>
          <w:rPr>
            <w:color w:val="0563C1"/>
            <w:u w:val="single" w:color="0563C1"/>
          </w:rPr>
          <w:t>-</w:t>
        </w:r>
      </w:hyperlink>
      <w:hyperlink r:id="rId23">
        <w:r>
          <w:rPr>
            <w:color w:val="0563C1"/>
            <w:u w:val="single" w:color="0563C1"/>
          </w:rPr>
          <w:t>wojewodztwa</w:t>
        </w:r>
      </w:hyperlink>
      <w:hyperlink r:id="rId24">
        <w:r>
          <w:rPr>
            <w:color w:val="0563C1"/>
            <w:u w:val="single" w:color="0563C1"/>
          </w:rPr>
          <w:t>-</w:t>
        </w:r>
      </w:hyperlink>
      <w:hyperlink r:id="rId25">
        <w:r>
          <w:rPr>
            <w:color w:val="0563C1"/>
            <w:u w:val="single" w:color="0563C1"/>
          </w:rPr>
          <w:t>warminsko</w:t>
        </w:r>
      </w:hyperlink>
      <w:hyperlink r:id="rId26">
        <w:r>
          <w:rPr>
            <w:color w:val="0563C1"/>
            <w:u w:val="single" w:color="0563C1"/>
          </w:rPr>
          <w:t>-</w:t>
        </w:r>
      </w:hyperlink>
      <w:hyperlink r:id="rId27">
        <w:r>
          <w:rPr>
            <w:color w:val="0563C1"/>
            <w:u w:val="single" w:color="0563C1"/>
          </w:rPr>
          <w:t>mazurskiego</w:t>
        </w:r>
      </w:hyperlink>
      <w:hyperlink r:id="rId28">
        <w:r>
          <w:rPr>
            <w:color w:val="0563C1"/>
            <w:u w:val="single" w:color="0563C1"/>
          </w:rPr>
          <w:t>-</w:t>
        </w:r>
      </w:hyperlink>
      <w:hyperlink r:id="rId29">
        <w:r>
          <w:rPr>
            <w:color w:val="0563C1"/>
            <w:u w:val="single" w:color="0563C1"/>
          </w:rPr>
          <w:t>pn.</w:t>
        </w:r>
      </w:hyperlink>
      <w:hyperlink r:id="rId30">
        <w:r>
          <w:rPr>
            <w:color w:val="0563C1"/>
            <w:u w:val="single" w:color="0563C1"/>
          </w:rPr>
          <w:t>-</w:t>
        </w:r>
      </w:hyperlink>
      <w:hyperlink r:id="rId31">
        <w:r>
          <w:rPr>
            <w:color w:val="0563C1"/>
            <w:u w:val="single" w:color="0563C1"/>
          </w:rPr>
          <w:t>zdrowe</w:t>
        </w:r>
      </w:hyperlink>
      <w:hyperlink r:id="rId32">
        <w:r>
          <w:rPr>
            <w:color w:val="0563C1"/>
            <w:u w:val="single" w:color="0563C1"/>
          </w:rPr>
          <w:t>-</w:t>
        </w:r>
      </w:hyperlink>
      <w:hyperlink r:id="rId33">
        <w:r>
          <w:rPr>
            <w:color w:val="0563C1"/>
            <w:u w:val="single" w:color="0563C1"/>
          </w:rPr>
          <w:t>zycie.html</w:t>
        </w:r>
      </w:hyperlink>
      <w:hyperlink r:id="rId34">
        <w:r>
          <w:rPr>
            <w:rFonts w:ascii="Arial" w:eastAsia="Arial" w:hAnsi="Arial" w:cs="Arial"/>
            <w:color w:val="0563C1"/>
          </w:rPr>
          <w:t xml:space="preserve"> </w:t>
        </w:r>
      </w:hyperlink>
      <w:r>
        <w:rPr>
          <w:rFonts w:ascii="Arial" w:eastAsia="Arial" w:hAnsi="Arial" w:cs="Arial"/>
          <w:color w:val="0563C1"/>
        </w:rPr>
        <w:t xml:space="preserve"> </w:t>
      </w:r>
    </w:p>
    <w:p w14:paraId="0A493690" w14:textId="77777777" w:rsidR="00C70F05" w:rsidRDefault="00000000">
      <w:pPr>
        <w:spacing w:after="0"/>
        <w:ind w:left="0" w:firstLine="0"/>
        <w:jc w:val="left"/>
      </w:pPr>
      <w:r>
        <w:t xml:space="preserve"> </w:t>
      </w:r>
    </w:p>
    <w:p w14:paraId="35BEF034" w14:textId="77777777" w:rsidR="00C70F05" w:rsidRDefault="00000000">
      <w:pPr>
        <w:spacing w:line="250" w:lineRule="auto"/>
        <w:ind w:left="-5" w:hanging="10"/>
        <w:jc w:val="left"/>
      </w:pPr>
      <w:hyperlink r:id="rId35">
        <w:r>
          <w:rPr>
            <w:color w:val="0563C1"/>
            <w:u w:val="single" w:color="0563C1"/>
          </w:rPr>
          <w:t>https://biznes.warmia.mazury.pl/inteligentne</w:t>
        </w:r>
      </w:hyperlink>
      <w:hyperlink r:id="rId36">
        <w:r>
          <w:rPr>
            <w:color w:val="0563C1"/>
            <w:u w:val="single" w:color="0563C1"/>
          </w:rPr>
          <w:t>-</w:t>
        </w:r>
      </w:hyperlink>
      <w:hyperlink r:id="rId37">
        <w:r>
          <w:rPr>
            <w:color w:val="0563C1"/>
            <w:u w:val="single" w:color="0563C1"/>
          </w:rPr>
          <w:t>specjalizacje</w:t>
        </w:r>
      </w:hyperlink>
      <w:hyperlink r:id="rId38">
        <w:r>
          <w:rPr>
            <w:color w:val="0563C1"/>
            <w:u w:val="single" w:color="0563C1"/>
          </w:rPr>
          <w:t>-</w:t>
        </w:r>
      </w:hyperlink>
      <w:hyperlink r:id="rId39">
        <w:r>
          <w:rPr>
            <w:color w:val="0563C1"/>
            <w:u w:val="single" w:color="0563C1"/>
          </w:rPr>
          <w:t>warmii</w:t>
        </w:r>
      </w:hyperlink>
      <w:hyperlink r:id="rId40">
        <w:r>
          <w:rPr>
            <w:color w:val="0563C1"/>
            <w:u w:val="single" w:color="0563C1"/>
          </w:rPr>
          <w:t>-</w:t>
        </w:r>
      </w:hyperlink>
      <w:hyperlink r:id="rId41">
        <w:r>
          <w:rPr>
            <w:color w:val="0563C1"/>
            <w:u w:val="single" w:color="0563C1"/>
          </w:rPr>
          <w:t>i</w:t>
        </w:r>
      </w:hyperlink>
      <w:hyperlink r:id="rId42">
        <w:r>
          <w:rPr>
            <w:color w:val="0563C1"/>
            <w:u w:val="single" w:color="0563C1"/>
          </w:rPr>
          <w:t>-</w:t>
        </w:r>
      </w:hyperlink>
      <w:hyperlink r:id="rId43">
        <w:r>
          <w:rPr>
            <w:color w:val="0563C1"/>
            <w:u w:val="single" w:color="0563C1"/>
          </w:rPr>
          <w:t>mazur/</w:t>
        </w:r>
      </w:hyperlink>
      <w:hyperlink r:id="rId44">
        <w:r>
          <w:t xml:space="preserve"> </w:t>
        </w:r>
      </w:hyperlink>
      <w:r>
        <w:t xml:space="preserve"> </w:t>
      </w:r>
    </w:p>
    <w:p w14:paraId="7911D613" w14:textId="77777777" w:rsidR="00C70F05" w:rsidRDefault="00000000">
      <w:pPr>
        <w:spacing w:after="0"/>
        <w:ind w:left="0" w:firstLine="0"/>
        <w:jc w:val="left"/>
      </w:pPr>
      <w:r>
        <w:t xml:space="preserve"> </w:t>
      </w:r>
    </w:p>
    <w:p w14:paraId="3C4E9947" w14:textId="77777777" w:rsidR="00C70F05" w:rsidRDefault="00000000">
      <w:pPr>
        <w:spacing w:after="21"/>
        <w:ind w:left="0" w:firstLine="0"/>
        <w:jc w:val="left"/>
      </w:pPr>
      <w:r>
        <w:t xml:space="preserve"> </w:t>
      </w:r>
    </w:p>
    <w:p w14:paraId="2E5B14BB" w14:textId="77777777" w:rsidR="00C70F05" w:rsidRDefault="00000000">
      <w:pPr>
        <w:spacing w:after="4" w:line="262" w:lineRule="auto"/>
        <w:ind w:left="-5" w:hanging="10"/>
      </w:pPr>
      <w:r>
        <w:rPr>
          <w:b/>
        </w:rPr>
        <w:t xml:space="preserve">Priorytet nr 4, tj. Wsparcie kształcenia ustawicznego instruktorów praktycznej nauki zawodu bądź osób mających zamiar podjęcia się tego zajęcia, opiekunów praktyk zawodowych i opiekunów stażu uczniowskiego oraz szkoleń branżowych dla nauczycieli kształcenia zawodowego.  </w:t>
      </w:r>
    </w:p>
    <w:p w14:paraId="77371EE6" w14:textId="77777777" w:rsidR="00C70F05" w:rsidRDefault="00000000">
      <w:pPr>
        <w:spacing w:after="20"/>
        <w:ind w:left="0" w:firstLine="0"/>
        <w:jc w:val="left"/>
      </w:pPr>
      <w:r>
        <w:t xml:space="preserve"> </w:t>
      </w:r>
    </w:p>
    <w:p w14:paraId="18A95D03" w14:textId="77777777" w:rsidR="00C70F05" w:rsidRDefault="00000000">
      <w:pPr>
        <w:ind w:left="0" w:firstLine="0"/>
      </w:pPr>
      <w:r>
        <w:t xml:space="preserve">W ramach tego priorytetu środki KFS będą mogły sfinansować obowiązkowe szkolenia branżowe </w:t>
      </w:r>
      <w:r>
        <w:rPr>
          <w:u w:val="single" w:color="000000"/>
        </w:rPr>
        <w:t>nauczycieli teoretycznych przedmiotów zawodowych i nauczycieli praktycznej</w:t>
      </w:r>
      <w:r>
        <w:t xml:space="preserve"> </w:t>
      </w:r>
      <w:r>
        <w:rPr>
          <w:u w:val="single" w:color="000000"/>
        </w:rPr>
        <w:t>nauki zawodu</w:t>
      </w:r>
      <w:r>
        <w:t xml:space="preserve"> zatrudnionych w publicznych szkołach prowadzących kształcenie zawodowe oraz w publicznych placówkach kształcenia ustawicznego i w publicznych centrach kształcenia zawodowego – prowadzonych zarówno przez jednostki samorządu terytorialnego jak również przez osoby fizyczne i osoby prawne niebędące jednostkami  samorządu terytorialnego. Priorytet ten pozwala również na skorzystanie z dofinansowania do różnych form kształcenia ustawicznego osób, którym powierzono obowiązki </w:t>
      </w:r>
      <w:r>
        <w:rPr>
          <w:u w:val="single" w:color="000000"/>
        </w:rPr>
        <w:t>instruktorów praktycznej nauki zawodu</w:t>
      </w:r>
      <w:r>
        <w:t xml:space="preserve"> lub deklarujących chęć podjęcia się takiego zajęcia, </w:t>
      </w:r>
      <w:r>
        <w:rPr>
          <w:u w:val="single" w:color="000000"/>
        </w:rPr>
        <w:t>opiekunów praktyk zawodowych</w:t>
      </w:r>
      <w:r>
        <w:t xml:space="preserve"> i </w:t>
      </w:r>
      <w:r>
        <w:rPr>
          <w:u w:val="single" w:color="000000"/>
        </w:rPr>
        <w:t>opiekunów</w:t>
      </w:r>
      <w:r>
        <w:t xml:space="preserve"> </w:t>
      </w:r>
      <w:r>
        <w:rPr>
          <w:u w:val="single" w:color="000000"/>
        </w:rPr>
        <w:t>stażu uczniowskiego</w:t>
      </w:r>
      <w:r>
        <w:t xml:space="preserve">. Grupę tę stanowią pracodawcy lub pracownicy podmiotów przyjmujących uczniów na staż bądź osoby prowadzące indywidualne gospodarstwa rolne.  Definicja </w:t>
      </w:r>
      <w:r>
        <w:rPr>
          <w:i/>
        </w:rPr>
        <w:t>stażu uczniowskiego</w:t>
      </w:r>
      <w:r>
        <w:t xml:space="preserve"> wskazana w art. 121a ust. 1 i ust. 21 ustawy Prawo Oświatowe z dnia 14 grudnia 2016 r. określa go jako staż w rzeczywistych warunkach pracy jaki w celu ułatwienia uzyskiwania doświadczenia i nabywania umiejętności praktycznych niezbędnych do wykonywania pracy w zawodzie, w którym kształcą się, mogą w okresie nauki odbywać uczniowie technikum i uczniowie branżowej szkoły I stopnia niebędący młodocianymi pracownikami. W czasie odbywania stażu uczniowskiego opiekę nad uczniem sprawuje wyznaczony przez podmiot przyjmujący na staż uczniowski opiekun stażu uczniowskiego.  Rozporządzenie MEN z 22 lutego 2019 roku w sprawie praktycznej nauki zawodu w § 11 ust. 1 określa, że </w:t>
      </w:r>
      <w:r>
        <w:rPr>
          <w:i/>
        </w:rPr>
        <w:t>praktyki zawodowe</w:t>
      </w:r>
      <w:r>
        <w:t xml:space="preserve"> organizowane u pracodawców lub w indywidualnych gospodarstwach rolnych są prowadzone pod kierunkiem opiekunów praktyk zawodowych, którymi mogą być pracodawcy lub wyznaczeni przez nich pracownicy albo osoby prowadzące indywidualne gospodarstwa rolne.  </w:t>
      </w:r>
    </w:p>
    <w:p w14:paraId="3461EE85" w14:textId="77777777" w:rsidR="00C70F05" w:rsidRDefault="00000000">
      <w:pPr>
        <w:spacing w:after="21"/>
        <w:ind w:left="0" w:firstLine="0"/>
        <w:jc w:val="left"/>
      </w:pPr>
      <w:r>
        <w:t xml:space="preserve"> </w:t>
      </w:r>
    </w:p>
    <w:p w14:paraId="2C082129" w14:textId="77777777" w:rsidR="00C70F05" w:rsidRDefault="00000000">
      <w:pPr>
        <w:spacing w:after="4" w:line="262" w:lineRule="auto"/>
        <w:ind w:left="-5" w:hanging="10"/>
      </w:pPr>
      <w:r>
        <w:rPr>
          <w:b/>
        </w:rPr>
        <w:lastRenderedPageBreak/>
        <w:t xml:space="preserve">Priorytet nr 5, tj. Wsparcie kształcenia ustawicznego osób, które mogą udokumentować wykonywanie przez co najmniej 15 lat prac w szczególnych warunkach lub o szczególnym charakterze, a którym nie przysługuje prawo do emerytury pomostowej. </w:t>
      </w:r>
    </w:p>
    <w:p w14:paraId="4EECE840" w14:textId="77777777" w:rsidR="00C70F05" w:rsidRDefault="00000000">
      <w:pPr>
        <w:spacing w:after="0"/>
        <w:ind w:left="0" w:firstLine="0"/>
        <w:jc w:val="left"/>
      </w:pPr>
      <w:r>
        <w:t xml:space="preserve"> </w:t>
      </w:r>
    </w:p>
    <w:p w14:paraId="7196CE97" w14:textId="77777777" w:rsidR="00C70F05" w:rsidRDefault="00000000">
      <w:pPr>
        <w:ind w:left="0" w:firstLine="0"/>
      </w:pPr>
      <w:r>
        <w:t xml:space="preserve">Wykaz prac w szczególnych warunkach i wykaz prac o szczególnym charakterze stanowią odpowiednio załącznik nr 1 i załącznik nr 2 do ustawy z dnia 19.12.2008 r. (Dz. U. 2008,  nr 237, poz. 1656) o emeryturach pomostowych. </w:t>
      </w:r>
    </w:p>
    <w:p w14:paraId="418073E9" w14:textId="77777777" w:rsidR="00C70F05" w:rsidRDefault="00000000">
      <w:pPr>
        <w:spacing w:after="0"/>
        <w:ind w:left="0" w:firstLine="0"/>
        <w:jc w:val="left"/>
      </w:pPr>
      <w:r>
        <w:t xml:space="preserve"> </w:t>
      </w:r>
    </w:p>
    <w:p w14:paraId="77EB91A0" w14:textId="77777777" w:rsidR="00C70F05" w:rsidRDefault="00000000">
      <w:pPr>
        <w:spacing w:after="0"/>
        <w:ind w:left="0" w:firstLine="0"/>
        <w:jc w:val="left"/>
      </w:pPr>
      <w:r>
        <w:t xml:space="preserve"> </w:t>
      </w:r>
    </w:p>
    <w:p w14:paraId="233E9B1E" w14:textId="77777777" w:rsidR="00C70F05" w:rsidRDefault="00000000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3D18845" w14:textId="77777777" w:rsidR="00C70F05" w:rsidRDefault="00000000">
      <w:pPr>
        <w:spacing w:after="0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86585A7" w14:textId="77777777" w:rsidR="00C70F05" w:rsidRDefault="00000000">
      <w:pPr>
        <w:spacing w:after="3"/>
        <w:ind w:left="-5" w:hanging="10"/>
        <w:jc w:val="left"/>
      </w:pPr>
      <w:r>
        <w:rPr>
          <w:rFonts w:ascii="Calibri" w:eastAsia="Calibri" w:hAnsi="Calibri" w:cs="Calibri"/>
          <w:i/>
          <w:sz w:val="22"/>
        </w:rPr>
        <w:t xml:space="preserve">Przygotowano na podstawie opracowania Ministerstwa Rodziny i Polityki Społecznej „Krajowy </w:t>
      </w:r>
    </w:p>
    <w:p w14:paraId="39C50F31" w14:textId="77777777" w:rsidR="00C70F05" w:rsidRDefault="00000000">
      <w:pPr>
        <w:spacing w:after="3"/>
        <w:ind w:left="-5" w:hanging="10"/>
        <w:jc w:val="left"/>
      </w:pPr>
      <w:r>
        <w:rPr>
          <w:rFonts w:ascii="Calibri" w:eastAsia="Calibri" w:hAnsi="Calibri" w:cs="Calibri"/>
          <w:i/>
          <w:sz w:val="22"/>
        </w:rPr>
        <w:t>Fundusz Szkoleniowy w roku 2023. Kierunkowe wytyczne dla urzędów pracy. Wersja skorygowana”</w:t>
      </w:r>
      <w:r>
        <w:rPr>
          <w:rFonts w:ascii="Calibri" w:eastAsia="Calibri" w:hAnsi="Calibri" w:cs="Calibri"/>
          <w:b/>
          <w:i/>
          <w:sz w:val="22"/>
        </w:rPr>
        <w:t xml:space="preserve"> </w:t>
      </w:r>
    </w:p>
    <w:sectPr w:rsidR="00C70F05">
      <w:footerReference w:type="even" r:id="rId45"/>
      <w:footerReference w:type="default" r:id="rId46"/>
      <w:footerReference w:type="first" r:id="rId47"/>
      <w:pgSz w:w="11906" w:h="16838"/>
      <w:pgMar w:top="854" w:right="1414" w:bottom="1523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88F8" w14:textId="77777777" w:rsidR="00800FA7" w:rsidRDefault="00800FA7">
      <w:pPr>
        <w:spacing w:after="0" w:line="240" w:lineRule="auto"/>
      </w:pPr>
      <w:r>
        <w:separator/>
      </w:r>
    </w:p>
  </w:endnote>
  <w:endnote w:type="continuationSeparator" w:id="0">
    <w:p w14:paraId="1C8B6056" w14:textId="77777777" w:rsidR="00800FA7" w:rsidRDefault="00800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7C3C" w14:textId="77777777" w:rsidR="00C70F05" w:rsidRDefault="00000000">
    <w:pPr>
      <w:spacing w:after="0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5</w:t>
      </w:r>
    </w:fldSimple>
    <w:r>
      <w:rPr>
        <w:rFonts w:ascii="Calibri" w:eastAsia="Calibri" w:hAnsi="Calibri" w:cs="Calibri"/>
        <w:sz w:val="22"/>
      </w:rPr>
      <w:t xml:space="preserve"> </w:t>
    </w:r>
  </w:p>
  <w:p w14:paraId="6771BAF3" w14:textId="77777777" w:rsidR="00C70F05" w:rsidRDefault="00000000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0439" w14:textId="77777777" w:rsidR="00C70F05" w:rsidRDefault="00000000">
    <w:pPr>
      <w:spacing w:after="0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5</w:t>
      </w:r>
    </w:fldSimple>
    <w:r>
      <w:rPr>
        <w:rFonts w:ascii="Calibri" w:eastAsia="Calibri" w:hAnsi="Calibri" w:cs="Calibri"/>
        <w:sz w:val="22"/>
      </w:rPr>
      <w:t xml:space="preserve"> </w:t>
    </w:r>
  </w:p>
  <w:p w14:paraId="19B8E7AF" w14:textId="77777777" w:rsidR="00C70F05" w:rsidRDefault="00000000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7CB6" w14:textId="77777777" w:rsidR="00C70F05" w:rsidRDefault="00000000">
    <w:pPr>
      <w:spacing w:after="0"/>
      <w:ind w:left="0" w:right="1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5</w:t>
      </w:r>
    </w:fldSimple>
    <w:r>
      <w:rPr>
        <w:rFonts w:ascii="Calibri" w:eastAsia="Calibri" w:hAnsi="Calibri" w:cs="Calibri"/>
        <w:sz w:val="22"/>
      </w:rPr>
      <w:t xml:space="preserve"> </w:t>
    </w:r>
  </w:p>
  <w:p w14:paraId="65921F4B" w14:textId="77777777" w:rsidR="00C70F05" w:rsidRDefault="00000000">
    <w:pPr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1D16" w14:textId="77777777" w:rsidR="00800FA7" w:rsidRDefault="00800FA7">
      <w:pPr>
        <w:spacing w:after="0" w:line="240" w:lineRule="auto"/>
      </w:pPr>
      <w:r>
        <w:separator/>
      </w:r>
    </w:p>
  </w:footnote>
  <w:footnote w:type="continuationSeparator" w:id="0">
    <w:p w14:paraId="793DF627" w14:textId="77777777" w:rsidR="00800FA7" w:rsidRDefault="00800F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7741"/>
    <w:multiLevelType w:val="hybridMultilevel"/>
    <w:tmpl w:val="71DECCFE"/>
    <w:lvl w:ilvl="0" w:tplc="BF1C1A4E">
      <w:start w:val="1"/>
      <w:numFmt w:val="bullet"/>
      <w:lvlText w:val="✓"/>
      <w:lvlJc w:val="left"/>
      <w:pPr>
        <w:ind w:left="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4D5F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892D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E84D0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8C29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ADC8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404C70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6C9F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6722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350A68"/>
    <w:multiLevelType w:val="hybridMultilevel"/>
    <w:tmpl w:val="CC9289C6"/>
    <w:lvl w:ilvl="0" w:tplc="D3B200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CD1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46E7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621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C63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0F56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672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66B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828A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0D2A18"/>
    <w:multiLevelType w:val="hybridMultilevel"/>
    <w:tmpl w:val="36CA2D7E"/>
    <w:lvl w:ilvl="0" w:tplc="974CAC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A73F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A78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6CE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A0B0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E831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81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8E05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0CF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A93685"/>
    <w:multiLevelType w:val="hybridMultilevel"/>
    <w:tmpl w:val="B97EB498"/>
    <w:lvl w:ilvl="0" w:tplc="B224C0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5E7D86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8F340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9EE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8FF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CEDEE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CCEFA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4495C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8C84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2897991">
    <w:abstractNumId w:val="0"/>
  </w:num>
  <w:num w:numId="2" w16cid:durableId="1273249709">
    <w:abstractNumId w:val="3"/>
  </w:num>
  <w:num w:numId="3" w16cid:durableId="399064527">
    <w:abstractNumId w:val="1"/>
  </w:num>
  <w:num w:numId="4" w16cid:durableId="1723678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05"/>
    <w:rsid w:val="0048708A"/>
    <w:rsid w:val="00800FA7"/>
    <w:rsid w:val="00A33405"/>
    <w:rsid w:val="00C7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975B"/>
  <w15:docId w15:val="{89065204-7333-4E53-9F89-560C9A89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18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26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39" Type="http://schemas.openxmlformats.org/officeDocument/2006/relationships/hyperlink" Target="https://biznes.warmia.mazury.pl/inteligentne-specjalizacje-warmii-i-mazu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34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42" Type="http://schemas.openxmlformats.org/officeDocument/2006/relationships/hyperlink" Target="https://biznes.warmia.mazury.pl/inteligentne-specjalizacje-warmii-i-mazur/" TargetMode="External"/><Relationship Id="rId47" Type="http://schemas.openxmlformats.org/officeDocument/2006/relationships/footer" Target="footer3.xml"/><Relationship Id="rId7" Type="http://schemas.openxmlformats.org/officeDocument/2006/relationships/hyperlink" Target="https://strategia.warmia.mazury.pl/strategia-2030/" TargetMode="External"/><Relationship Id="rId12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17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25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33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38" Type="http://schemas.openxmlformats.org/officeDocument/2006/relationships/hyperlink" Target="https://biznes.warmia.mazury.pl/inteligentne-specjalizacje-warmii-i-mazur/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20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29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41" Type="http://schemas.openxmlformats.org/officeDocument/2006/relationships/hyperlink" Target="https://biznes.warmia.mazury.pl/inteligentne-specjalizacje-warmii-i-mazu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24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32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37" Type="http://schemas.openxmlformats.org/officeDocument/2006/relationships/hyperlink" Target="https://biznes.warmia.mazury.pl/inteligentne-specjalizacje-warmii-i-mazur/" TargetMode="External"/><Relationship Id="rId40" Type="http://schemas.openxmlformats.org/officeDocument/2006/relationships/hyperlink" Target="https://biznes.warmia.mazury.pl/inteligentne-specjalizacje-warmii-i-mazur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23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28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36" Type="http://schemas.openxmlformats.org/officeDocument/2006/relationships/hyperlink" Target="https://biznes.warmia.mazury.pl/inteligentne-specjalizacje-warmii-i-mazur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trategia.warmia.mazury.pl/strategia-2030/" TargetMode="External"/><Relationship Id="rId19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31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44" Type="http://schemas.openxmlformats.org/officeDocument/2006/relationships/hyperlink" Target="https://biznes.warmia.mazury.pl/inteligentne-specjalizacje-warmii-i-mazu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rategia.warmia.mazury.pl/strategia-2030/" TargetMode="External"/><Relationship Id="rId14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22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27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30" Type="http://schemas.openxmlformats.org/officeDocument/2006/relationships/hyperlink" Target="https://bip.warmia.mazury.pl/akty/16175/uchwala-w-sprawie-przyjecia-inteligentnej-specjalizacji-wojewodztwa-warminsko-mazurskiego-pn.-zdrowe-zycie.html" TargetMode="External"/><Relationship Id="rId35" Type="http://schemas.openxmlformats.org/officeDocument/2006/relationships/hyperlink" Target="https://biznes.warmia.mazury.pl/inteligentne-specjalizacje-warmii-i-mazur/" TargetMode="External"/><Relationship Id="rId43" Type="http://schemas.openxmlformats.org/officeDocument/2006/relationships/hyperlink" Target="https://biznes.warmia.mazury.pl/inteligentne-specjalizacje-warmii-i-mazur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trategia.warmia.mazury.pl/strategia-2030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2439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Kazala</dc:creator>
  <cp:keywords/>
  <cp:lastModifiedBy>Patrycja Romanowska</cp:lastModifiedBy>
  <cp:revision>2</cp:revision>
  <dcterms:created xsi:type="dcterms:W3CDTF">2023-10-20T07:08:00Z</dcterms:created>
  <dcterms:modified xsi:type="dcterms:W3CDTF">2023-10-20T07:08:00Z</dcterms:modified>
</cp:coreProperties>
</file>